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261B" w14:textId="77777777" w:rsidR="00003CF2" w:rsidRDefault="00A65CF3">
      <w:pPr>
        <w:pBdr>
          <w:top w:val="nil"/>
          <w:left w:val="nil"/>
          <w:bottom w:val="nil"/>
          <w:right w:val="nil"/>
          <w:between w:val="nil"/>
        </w:pBdr>
        <w:ind w:left="720" w:hanging="720"/>
        <w:jc w:val="center"/>
      </w:pPr>
      <w:r>
        <w:rPr>
          <w:b/>
          <w:sz w:val="32"/>
          <w:szCs w:val="32"/>
        </w:rPr>
        <w:t>Hazelnut harvesting machines: recent advances and new trends</w:t>
      </w:r>
    </w:p>
    <w:p w14:paraId="4F00C302" w14:textId="61AAA0DD" w:rsidR="00003CF2" w:rsidRPr="00AF4657" w:rsidRDefault="00BF10EF">
      <w:pPr>
        <w:pBdr>
          <w:top w:val="nil"/>
          <w:left w:val="nil"/>
          <w:bottom w:val="nil"/>
          <w:right w:val="nil"/>
          <w:between w:val="nil"/>
        </w:pBdr>
        <w:ind w:left="720" w:hanging="720"/>
        <w:jc w:val="center"/>
        <w:rPr>
          <w:b/>
          <w:color w:val="000000"/>
          <w:sz w:val="24"/>
          <w:szCs w:val="24"/>
          <w:lang w:val="it-IT"/>
        </w:rPr>
      </w:pPr>
      <w:r w:rsidRPr="00AF4657">
        <w:rPr>
          <w:b/>
          <w:color w:val="000000"/>
          <w:sz w:val="24"/>
          <w:szCs w:val="24"/>
          <w:lang w:val="it-IT"/>
        </w:rPr>
        <w:t>Riccardo Alemanno</w:t>
      </w:r>
      <w:r>
        <w:rPr>
          <w:b/>
          <w:sz w:val="24"/>
          <w:szCs w:val="24"/>
          <w:lang w:val="it-IT"/>
        </w:rPr>
        <w:t>, P</w:t>
      </w:r>
      <w:r w:rsidR="00A65CF3" w:rsidRPr="00AF4657">
        <w:rPr>
          <w:b/>
          <w:sz w:val="24"/>
          <w:szCs w:val="24"/>
          <w:lang w:val="it-IT"/>
        </w:rPr>
        <w:t>ierluigi Rossi,</w:t>
      </w:r>
      <w:r w:rsidR="00A65CF3" w:rsidRPr="00AF4657">
        <w:rPr>
          <w:b/>
          <w:color w:val="000000"/>
          <w:sz w:val="24"/>
          <w:szCs w:val="24"/>
          <w:lang w:val="it-IT"/>
        </w:rPr>
        <w:t xml:space="preserve"> </w:t>
      </w:r>
      <w:r w:rsidRPr="00AF4657">
        <w:rPr>
          <w:b/>
          <w:color w:val="000000"/>
          <w:sz w:val="24"/>
          <w:szCs w:val="24"/>
          <w:lang w:val="it-IT"/>
        </w:rPr>
        <w:t>Gianmarco Rigon</w:t>
      </w:r>
      <w:r w:rsidRPr="00AF4657">
        <w:rPr>
          <w:b/>
          <w:sz w:val="24"/>
          <w:szCs w:val="24"/>
          <w:vertAlign w:val="superscript"/>
          <w:lang w:val="it-IT"/>
        </w:rPr>
        <w:t>*</w:t>
      </w:r>
      <w:r w:rsidRPr="00AF4657">
        <w:rPr>
          <w:b/>
          <w:color w:val="000000"/>
          <w:sz w:val="24"/>
          <w:szCs w:val="24"/>
          <w:lang w:val="it-IT"/>
        </w:rPr>
        <w:t xml:space="preserve">, </w:t>
      </w:r>
      <w:r w:rsidR="00A950E2">
        <w:rPr>
          <w:b/>
          <w:color w:val="000000"/>
          <w:sz w:val="24"/>
          <w:szCs w:val="24"/>
          <w:lang w:val="it-IT"/>
        </w:rPr>
        <w:t xml:space="preserve">Massimo Cecchini, </w:t>
      </w:r>
      <w:r w:rsidRPr="00AF4657">
        <w:rPr>
          <w:b/>
          <w:color w:val="000000"/>
          <w:sz w:val="24"/>
          <w:szCs w:val="24"/>
          <w:lang w:val="it-IT"/>
        </w:rPr>
        <w:t>Danilo Monarca</w:t>
      </w:r>
    </w:p>
    <w:p w14:paraId="0E477408" w14:textId="77777777" w:rsidR="002F7C0E" w:rsidRDefault="002F7C0E">
      <w:pPr>
        <w:pBdr>
          <w:top w:val="nil"/>
          <w:left w:val="nil"/>
          <w:bottom w:val="nil"/>
          <w:right w:val="nil"/>
          <w:between w:val="nil"/>
        </w:pBdr>
        <w:spacing w:before="0"/>
        <w:ind w:left="720"/>
        <w:jc w:val="center"/>
        <w:rPr>
          <w:color w:val="000000"/>
        </w:rPr>
      </w:pPr>
    </w:p>
    <w:p w14:paraId="6B45FE76" w14:textId="7BF5583F" w:rsidR="00003CF2" w:rsidRDefault="00A65CF3">
      <w:pPr>
        <w:pBdr>
          <w:top w:val="nil"/>
          <w:left w:val="nil"/>
          <w:bottom w:val="nil"/>
          <w:right w:val="nil"/>
          <w:between w:val="nil"/>
        </w:pBdr>
        <w:spacing w:before="0"/>
        <w:ind w:left="720"/>
        <w:jc w:val="center"/>
      </w:pPr>
      <w:r>
        <w:rPr>
          <w:color w:val="000000"/>
        </w:rPr>
        <w:t xml:space="preserve">DAFNE Department - </w:t>
      </w:r>
      <w:proofErr w:type="spellStart"/>
      <w:r>
        <w:rPr>
          <w:color w:val="000000"/>
        </w:rPr>
        <w:t>Tuscia</w:t>
      </w:r>
      <w:proofErr w:type="spellEnd"/>
      <w:r>
        <w:rPr>
          <w:color w:val="000000"/>
        </w:rPr>
        <w:t xml:space="preserve"> University, </w:t>
      </w:r>
      <w:proofErr w:type="spellStart"/>
      <w:r>
        <w:rPr>
          <w:color w:val="000000"/>
        </w:rPr>
        <w:t>Viterbo</w:t>
      </w:r>
      <w:proofErr w:type="spellEnd"/>
      <w:r>
        <w:rPr>
          <w:color w:val="000000"/>
        </w:rPr>
        <w:t>, Italy</w:t>
      </w:r>
    </w:p>
    <w:p w14:paraId="773FF3CB" w14:textId="77777777" w:rsidR="00003CF2" w:rsidRDefault="00A65CF3">
      <w:pPr>
        <w:pBdr>
          <w:top w:val="nil"/>
          <w:left w:val="nil"/>
          <w:bottom w:val="nil"/>
          <w:right w:val="nil"/>
          <w:between w:val="nil"/>
        </w:pBdr>
        <w:spacing w:before="0"/>
        <w:ind w:left="720"/>
        <w:jc w:val="center"/>
      </w:pPr>
      <w:r>
        <w:t>+39 0761 357357 - gianmarco.rigon@unitus.it</w:t>
      </w:r>
      <w:r>
        <w:rPr>
          <w:color w:val="000000"/>
          <w:highlight w:val="yellow"/>
        </w:rPr>
        <w:t xml:space="preserve"> </w:t>
      </w:r>
    </w:p>
    <w:p w14:paraId="6B78A78F" w14:textId="77777777" w:rsidR="00003CF2" w:rsidRDefault="00A65CF3">
      <w:pPr>
        <w:pBdr>
          <w:top w:val="nil"/>
          <w:left w:val="nil"/>
          <w:bottom w:val="nil"/>
          <w:right w:val="nil"/>
          <w:between w:val="nil"/>
        </w:pBdr>
        <w:spacing w:after="240"/>
        <w:jc w:val="both"/>
        <w:rPr>
          <w:color w:val="000000"/>
        </w:rPr>
      </w:pPr>
      <w:r>
        <w:rPr>
          <w:b/>
          <w:color w:val="000000"/>
        </w:rPr>
        <w:t>Keywords.</w:t>
      </w:r>
      <w:r>
        <w:rPr>
          <w:color w:val="000000"/>
        </w:rPr>
        <w:t xml:space="preserve"> Agricultural machinery, hazelnut, harvester, agriculture 4.0.</w:t>
      </w:r>
    </w:p>
    <w:p w14:paraId="0EC0F9AF" w14:textId="1FA5F1FC" w:rsidR="00003CF2" w:rsidRDefault="00A65CF3">
      <w:pPr>
        <w:pBdr>
          <w:top w:val="nil"/>
          <w:left w:val="nil"/>
          <w:bottom w:val="nil"/>
          <w:right w:val="nil"/>
          <w:between w:val="nil"/>
        </w:pBdr>
        <w:jc w:val="both"/>
        <w:rPr>
          <w:highlight w:val="white"/>
        </w:rPr>
      </w:pPr>
      <w:r>
        <w:rPr>
          <w:b/>
          <w:i/>
          <w:color w:val="000000"/>
        </w:rPr>
        <w:t>Abstract.</w:t>
      </w:r>
      <w:r>
        <w:rPr>
          <w:color w:val="000000"/>
        </w:rPr>
        <w:t xml:space="preserve"> </w:t>
      </w:r>
      <w:r>
        <w:t>I</w:t>
      </w:r>
      <w:r>
        <w:rPr>
          <w:highlight w:val="white"/>
        </w:rPr>
        <w:t xml:space="preserve">n the last decade, world hazelnut production has increased by about 25%. Italy is the world's second largest hazelnut producer after Turkey, the total area invested in our country is just over 92,300 hectares, marking an increase of over 20,000 hectares in the last ten years. The </w:t>
      </w:r>
      <w:proofErr w:type="spellStart"/>
      <w:r>
        <w:rPr>
          <w:highlight w:val="white"/>
        </w:rPr>
        <w:t>coriliculture</w:t>
      </w:r>
      <w:proofErr w:type="spellEnd"/>
      <w:r>
        <w:rPr>
          <w:highlight w:val="white"/>
        </w:rPr>
        <w:t xml:space="preserve"> production remains very concentrated, with 80% of the invested area located in only three regions, Piedmont (29%), Lazio (28%) and Campania (24%) and 19% in four </w:t>
      </w:r>
      <w:r w:rsidR="002F7C0E">
        <w:rPr>
          <w:highlight w:val="white"/>
        </w:rPr>
        <w:t xml:space="preserve">other </w:t>
      </w:r>
      <w:r>
        <w:rPr>
          <w:highlight w:val="white"/>
        </w:rPr>
        <w:t xml:space="preserve">regions, including Sicily. There is, however, an </w:t>
      </w:r>
      <w:r w:rsidR="00413388">
        <w:rPr>
          <w:highlight w:val="white"/>
        </w:rPr>
        <w:t xml:space="preserve">increasing trend </w:t>
      </w:r>
      <w:r>
        <w:rPr>
          <w:highlight w:val="white"/>
        </w:rPr>
        <w:t>also in other regions: among these, Tuscany and Veneto stand out.</w:t>
      </w:r>
      <w:r w:rsidR="00413388">
        <w:rPr>
          <w:highlight w:val="white"/>
        </w:rPr>
        <w:t xml:space="preserve"> </w:t>
      </w:r>
    </w:p>
    <w:p w14:paraId="1C37753C" w14:textId="3A462B95" w:rsidR="00003CF2" w:rsidRDefault="00A65CF3">
      <w:pPr>
        <w:jc w:val="both"/>
        <w:rPr>
          <w:highlight w:val="yellow"/>
        </w:rPr>
      </w:pPr>
      <w:r>
        <w:t xml:space="preserve">In order to meet a growing demand from the market, the development of newer harvesting machines in the hazelnut sector became mandatory. Italy is one of the </w:t>
      </w:r>
      <w:r w:rsidR="003612E7">
        <w:t>main</w:t>
      </w:r>
      <w:r>
        <w:t xml:space="preserve"> producers of hazelnut harvesting machinery. The need to adapt to different production areas</w:t>
      </w:r>
      <w:r w:rsidR="003612E7">
        <w:t>, to business dimension which significantly vary among regions</w:t>
      </w:r>
      <w:r>
        <w:t xml:space="preserve"> has resulted in a large</w:t>
      </w:r>
      <w:r w:rsidR="003612E7">
        <w:t>r</w:t>
      </w:r>
      <w:r>
        <w:t xml:space="preserve"> market</w:t>
      </w:r>
      <w:r w:rsidR="003612E7">
        <w:t xml:space="preserve"> offers</w:t>
      </w:r>
      <w:r>
        <w:t xml:space="preserve"> </w:t>
      </w:r>
      <w:r w:rsidR="003612E7">
        <w:t xml:space="preserve">with </w:t>
      </w:r>
      <w:r>
        <w:t>diversified solutions for</w:t>
      </w:r>
      <w:r w:rsidR="003612E7">
        <w:t xml:space="preserve"> both </w:t>
      </w:r>
      <w:r w:rsidR="00ED7BC7" w:rsidRPr="00ED7BC7">
        <w:t xml:space="preserve">small and bigger </w:t>
      </w:r>
      <w:r w:rsidR="00ED7BC7">
        <w:t>farmers</w:t>
      </w:r>
      <w:r>
        <w:t xml:space="preserve">. The leading companies in the hazelnut harvesting mechanization sector have been therefore identified and their main products have been examined. </w:t>
      </w:r>
    </w:p>
    <w:p w14:paraId="16993D4A" w14:textId="77777777" w:rsidR="00003CF2" w:rsidRDefault="00A65CF3">
      <w:pPr>
        <w:jc w:val="both"/>
      </w:pPr>
      <w:r>
        <w:t>The purpose of the paper is to describe the innovations and technological advances implemented on these machines in recent years. All these improvements mainly aimed to increase their productivity and to improve safety and comfort for the operators.</w:t>
      </w:r>
    </w:p>
    <w:p w14:paraId="0FD10618" w14:textId="77777777" w:rsidR="00003CF2" w:rsidRDefault="00A65CF3">
      <w:pPr>
        <w:jc w:val="both"/>
      </w:pPr>
      <w:r>
        <w:t>Consequently, a taxonomy of the systems adopted for the hazelnut harvesting operations is presented, differentiated according to the type of machines used (tractor mounted mechanical harvesters, trailed vacuum harvesters, self-propelled vacuum and mechanical harvesters). The research also aims to present early applications of agriculture 4.0 technologies in hazelnut mechanized harvesting, with a specific focus on possible applications of precision agriculture technologies.</w:t>
      </w:r>
    </w:p>
    <w:p w14:paraId="60E381C3" w14:textId="77777777" w:rsidR="00003CF2" w:rsidRDefault="00003CF2">
      <w:pPr>
        <w:jc w:val="both"/>
      </w:pPr>
    </w:p>
    <w:p w14:paraId="00BC2F18" w14:textId="77777777" w:rsidR="00003CF2" w:rsidRDefault="00003CF2">
      <w:pPr>
        <w:pBdr>
          <w:top w:val="nil"/>
          <w:left w:val="nil"/>
          <w:bottom w:val="nil"/>
          <w:right w:val="nil"/>
          <w:between w:val="nil"/>
        </w:pBdr>
        <w:rPr>
          <w:color w:val="000000"/>
        </w:rPr>
      </w:pPr>
    </w:p>
    <w:sectPr w:rsidR="00003CF2">
      <w:headerReference w:type="default" r:id="rId8"/>
      <w:pgSz w:w="12240" w:h="15840"/>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9F53" w14:textId="77777777" w:rsidR="00035580" w:rsidRDefault="00035580">
      <w:pPr>
        <w:spacing w:before="0"/>
      </w:pPr>
      <w:r>
        <w:separator/>
      </w:r>
    </w:p>
  </w:endnote>
  <w:endnote w:type="continuationSeparator" w:id="0">
    <w:p w14:paraId="48709A23" w14:textId="77777777" w:rsidR="00035580" w:rsidRDefault="000355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57E4" w14:textId="77777777" w:rsidR="00035580" w:rsidRDefault="00035580">
      <w:pPr>
        <w:spacing w:before="0"/>
      </w:pPr>
      <w:r>
        <w:separator/>
      </w:r>
    </w:p>
  </w:footnote>
  <w:footnote w:type="continuationSeparator" w:id="0">
    <w:p w14:paraId="04DFEC43" w14:textId="77777777" w:rsidR="00035580" w:rsidRDefault="0003558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F67E" w14:textId="77777777" w:rsidR="00003CF2" w:rsidRDefault="00003CF2">
    <w:pPr>
      <w:widowControl w:val="0"/>
      <w:pBdr>
        <w:top w:val="nil"/>
        <w:left w:val="nil"/>
        <w:bottom w:val="nil"/>
        <w:right w:val="nil"/>
        <w:between w:val="nil"/>
      </w:pBdr>
      <w:spacing w:before="0" w:line="276" w:lineRule="auto"/>
      <w:rPr>
        <w:color w:val="000000"/>
      </w:rPr>
    </w:pPr>
  </w:p>
  <w:tbl>
    <w:tblPr>
      <w:tblStyle w:val="a1"/>
      <w:tblW w:w="92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26"/>
      <w:gridCol w:w="617"/>
      <w:gridCol w:w="7712"/>
    </w:tblGrid>
    <w:tr w:rsidR="00003CF2" w14:paraId="16561A00" w14:textId="77777777">
      <w:trPr>
        <w:cantSplit/>
        <w:trHeight w:val="911"/>
      </w:trPr>
      <w:tc>
        <w:tcPr>
          <w:tcW w:w="926" w:type="dxa"/>
          <w:vAlign w:val="center"/>
        </w:tcPr>
        <w:p w14:paraId="57B7211B" w14:textId="77777777" w:rsidR="00003CF2" w:rsidRDefault="00A65CF3">
          <w:pPr>
            <w:pBdr>
              <w:top w:val="nil"/>
              <w:left w:val="nil"/>
              <w:bottom w:val="nil"/>
              <w:right w:val="nil"/>
              <w:between w:val="nil"/>
            </w:pBdr>
            <w:tabs>
              <w:tab w:val="center" w:pos="4320"/>
              <w:tab w:val="right" w:pos="8640"/>
            </w:tabs>
            <w:jc w:val="center"/>
            <w:rPr>
              <w:i/>
              <w:color w:val="000000"/>
              <w:sz w:val="20"/>
              <w:szCs w:val="20"/>
            </w:rPr>
          </w:pPr>
          <w:r>
            <w:rPr>
              <w:noProof/>
            </w:rPr>
            <w:drawing>
              <wp:anchor distT="0" distB="0" distL="114300" distR="114300" simplePos="0" relativeHeight="251658240" behindDoc="0" locked="0" layoutInCell="1" hidden="0" allowOverlap="1" wp14:anchorId="0015FC44" wp14:editId="667B7F03">
                <wp:simplePos x="0" y="0"/>
                <wp:positionH relativeFrom="column">
                  <wp:posOffset>-3807</wp:posOffset>
                </wp:positionH>
                <wp:positionV relativeFrom="paragraph">
                  <wp:posOffset>76200</wp:posOffset>
                </wp:positionV>
                <wp:extent cx="540000" cy="540000"/>
                <wp:effectExtent l="0" t="0" r="0" b="0"/>
                <wp:wrapNone/>
                <wp:docPr id="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540000" cy="540000"/>
                        </a:xfrm>
                        <a:prstGeom prst="rect">
                          <a:avLst/>
                        </a:prstGeom>
                        <a:ln/>
                      </pic:spPr>
                    </pic:pic>
                  </a:graphicData>
                </a:graphic>
              </wp:anchor>
            </w:drawing>
          </w:r>
        </w:p>
      </w:tc>
      <w:tc>
        <w:tcPr>
          <w:tcW w:w="617" w:type="dxa"/>
        </w:tcPr>
        <w:p w14:paraId="277DE0C7" w14:textId="77777777" w:rsidR="00003CF2" w:rsidRDefault="00003CF2">
          <w:pPr>
            <w:pBdr>
              <w:top w:val="nil"/>
              <w:left w:val="nil"/>
              <w:bottom w:val="nil"/>
              <w:right w:val="nil"/>
              <w:between w:val="nil"/>
            </w:pBdr>
            <w:tabs>
              <w:tab w:val="center" w:pos="4320"/>
              <w:tab w:val="right" w:pos="8640"/>
            </w:tabs>
            <w:rPr>
              <w:i/>
              <w:color w:val="000000"/>
              <w:sz w:val="20"/>
              <w:szCs w:val="20"/>
            </w:rPr>
          </w:pPr>
        </w:p>
      </w:tc>
      <w:tc>
        <w:tcPr>
          <w:tcW w:w="7712" w:type="dxa"/>
          <w:vAlign w:val="center"/>
        </w:tcPr>
        <w:p w14:paraId="2324EF36" w14:textId="77777777" w:rsidR="00003CF2" w:rsidRDefault="00A65CF3">
          <w:pPr>
            <w:pBdr>
              <w:top w:val="nil"/>
              <w:left w:val="nil"/>
              <w:bottom w:val="nil"/>
              <w:right w:val="nil"/>
              <w:between w:val="nil"/>
            </w:pBdr>
            <w:tabs>
              <w:tab w:val="center" w:pos="4320"/>
              <w:tab w:val="right" w:pos="8640"/>
            </w:tabs>
            <w:spacing w:before="0"/>
            <w:rPr>
              <w:i/>
              <w:color w:val="000000"/>
              <w:sz w:val="20"/>
              <w:szCs w:val="20"/>
            </w:rPr>
          </w:pPr>
          <w:r>
            <w:rPr>
              <w:i/>
              <w:color w:val="000000"/>
              <w:sz w:val="20"/>
              <w:szCs w:val="20"/>
            </w:rPr>
            <w:t>12</w:t>
          </w:r>
          <w:r>
            <w:rPr>
              <w:i/>
              <w:color w:val="000000"/>
              <w:sz w:val="20"/>
              <w:szCs w:val="20"/>
              <w:vertAlign w:val="superscript"/>
            </w:rPr>
            <w:t>th</w:t>
          </w:r>
          <w:r>
            <w:rPr>
              <w:i/>
              <w:color w:val="000000"/>
              <w:sz w:val="20"/>
              <w:szCs w:val="20"/>
            </w:rPr>
            <w:t xml:space="preserve"> International AIIA Conference: September 19-22, 2022 Palermo - Italy</w:t>
          </w:r>
        </w:p>
        <w:p w14:paraId="5AF9B7F1" w14:textId="77777777" w:rsidR="00003CF2" w:rsidRDefault="00A65CF3">
          <w:pPr>
            <w:pBdr>
              <w:top w:val="nil"/>
              <w:left w:val="nil"/>
              <w:bottom w:val="nil"/>
              <w:right w:val="nil"/>
              <w:between w:val="nil"/>
            </w:pBdr>
            <w:tabs>
              <w:tab w:val="center" w:pos="4320"/>
              <w:tab w:val="right" w:pos="8640"/>
            </w:tabs>
            <w:rPr>
              <w:i/>
              <w:color w:val="000000"/>
              <w:sz w:val="20"/>
              <w:szCs w:val="20"/>
            </w:rPr>
          </w:pPr>
          <w:r>
            <w:rPr>
              <w:i/>
              <w:color w:val="000000"/>
              <w:sz w:val="20"/>
              <w:szCs w:val="20"/>
            </w:rPr>
            <w:t xml:space="preserve">“Biosystems Engineering towards the Green Deal” </w:t>
          </w:r>
        </w:p>
        <w:p w14:paraId="391283C6" w14:textId="77777777" w:rsidR="00003CF2" w:rsidRDefault="00A65CF3">
          <w:pPr>
            <w:pBdr>
              <w:top w:val="nil"/>
              <w:left w:val="nil"/>
              <w:bottom w:val="nil"/>
              <w:right w:val="nil"/>
              <w:between w:val="nil"/>
            </w:pBdr>
            <w:tabs>
              <w:tab w:val="center" w:pos="4320"/>
              <w:tab w:val="right" w:pos="8640"/>
            </w:tabs>
            <w:spacing w:before="0"/>
            <w:rPr>
              <w:i/>
              <w:color w:val="000000"/>
              <w:sz w:val="20"/>
              <w:szCs w:val="20"/>
            </w:rPr>
          </w:pPr>
          <w:r>
            <w:rPr>
              <w:i/>
              <w:color w:val="000000"/>
              <w:sz w:val="20"/>
              <w:szCs w:val="20"/>
            </w:rPr>
            <w:t>Improving the resilience of agriculture, forestry and food systems in the post-Covid era</w:t>
          </w:r>
        </w:p>
      </w:tc>
    </w:tr>
  </w:tbl>
  <w:p w14:paraId="00302807" w14:textId="77777777" w:rsidR="00003CF2" w:rsidRDefault="00003CF2">
    <w:pPr>
      <w:pBdr>
        <w:top w:val="nil"/>
        <w:left w:val="nil"/>
        <w:bottom w:val="nil"/>
        <w:right w:val="nil"/>
        <w:between w:val="nil"/>
      </w:pBdr>
      <w:tabs>
        <w:tab w:val="center" w:pos="4320"/>
        <w:tab w:val="right" w:pos="8640"/>
      </w:tabs>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20D71"/>
    <w:multiLevelType w:val="multilevel"/>
    <w:tmpl w:val="BAE695F4"/>
    <w:lvl w:ilvl="0">
      <w:start w:val="1"/>
      <w:numFmt w:val="decimal"/>
      <w:pStyle w:val="Punt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401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F2"/>
    <w:rsid w:val="00003CF2"/>
    <w:rsid w:val="00035580"/>
    <w:rsid w:val="002F7C0E"/>
    <w:rsid w:val="003612E7"/>
    <w:rsid w:val="00413388"/>
    <w:rsid w:val="00521794"/>
    <w:rsid w:val="00677F2E"/>
    <w:rsid w:val="00A65CF3"/>
    <w:rsid w:val="00A950E2"/>
    <w:rsid w:val="00AF4657"/>
    <w:rsid w:val="00BD1A74"/>
    <w:rsid w:val="00BF10EF"/>
    <w:rsid w:val="00ED7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8AFB"/>
  <w15:docId w15:val="{DCEFACCE-8711-684A-8F63-0130A5E6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it-IT"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uiPriority w:val="9"/>
    <w:qFormat/>
    <w:pPr>
      <w:keepNext/>
      <w:spacing w:before="240" w:after="60"/>
      <w:outlineLvl w:val="0"/>
    </w:pPr>
    <w:rPr>
      <w:b/>
      <w:kern w:val="28"/>
      <w:sz w:val="28"/>
    </w:rPr>
  </w:style>
  <w:style w:type="paragraph" w:styleId="Titolo2">
    <w:name w:val="heading 2"/>
    <w:basedOn w:val="Normale"/>
    <w:next w:val="Normale"/>
    <w:uiPriority w:val="9"/>
    <w:semiHidden/>
    <w:unhideWhenUsed/>
    <w:qFormat/>
    <w:pPr>
      <w:keepNext/>
      <w:spacing w:before="240" w:after="60"/>
      <w:outlineLvl w:val="1"/>
    </w:pPr>
    <w:rPr>
      <w:b/>
      <w:i/>
      <w:sz w:val="24"/>
    </w:rPr>
  </w:style>
  <w:style w:type="paragraph" w:styleId="Titolo3">
    <w:name w:val="heading 3"/>
    <w:basedOn w:val="Normale"/>
    <w:next w:val="Normale"/>
    <w:uiPriority w:val="9"/>
    <w:semiHidden/>
    <w:unhideWhenUsed/>
    <w:qFormat/>
    <w:pPr>
      <w:keepNext/>
      <w:spacing w:before="240" w:after="60"/>
      <w:outlineLvl w:val="2"/>
    </w:pPr>
    <w:rPr>
      <w:sz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Author"/>
    <w:uiPriority w:val="10"/>
    <w:qFormat/>
    <w:pPr>
      <w:spacing w:before="360" w:after="360"/>
      <w:ind w:left="720" w:right="720"/>
      <w:jc w:val="center"/>
      <w:outlineLvl w:val="0"/>
    </w:pPr>
    <w:rPr>
      <w:b/>
      <w:kern w:val="28"/>
      <w:sz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snapToGrid w:val="0"/>
      <w:sz w:val="24"/>
      <w:lang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spacing w:before="60" w:after="60"/>
    </w:pPr>
    <w:rPr>
      <w:kern w:val="28"/>
    </w:rPr>
  </w:style>
  <w:style w:type="paragraph" w:styleId="Numeroelenco">
    <w:name w:val="List Number"/>
    <w:basedOn w:val="Normale"/>
    <w:semiHidden/>
    <w:pPr>
      <w:tabs>
        <w:tab w:val="num" w:pos="720"/>
      </w:tabs>
      <w:spacing w:before="60" w:after="60"/>
      <w:ind w:left="720" w:hanging="72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uiPriority w:val="20"/>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Paragrafoelenco">
    <w:name w:val="List Paragraph"/>
    <w:basedOn w:val="Normale"/>
    <w:uiPriority w:val="34"/>
    <w:qFormat/>
    <w:rsid w:val="00374E82"/>
    <w:pPr>
      <w:spacing w:before="0" w:after="160" w:line="259" w:lineRule="auto"/>
      <w:ind w:left="720"/>
      <w:contextualSpacing/>
    </w:pPr>
    <w:rPr>
      <w:rFonts w:asciiTheme="minorHAnsi" w:eastAsiaTheme="minorHAnsi" w:hAnsiTheme="minorHAnsi" w:cstheme="minorBidi"/>
      <w:lang w:val="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AJHNEcRZwVPRfZKAPH5mwJRQ==">AMUW2mUNtkb2J3Zxd/BoWaMYjHsJWiVJC8V/mwU30yYmNOJsYRgXPzFntRo3jKlg48v3m2wzbiF+vBt90krnIAfLWE4nf9EfUuG3HkpAmj3pvnfOxr1XYTA=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331</Words>
  <Characters>1888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ASAE</dc:creator>
  <cp:lastModifiedBy>Riccardo Alemanno</cp:lastModifiedBy>
  <cp:revision>7</cp:revision>
  <dcterms:created xsi:type="dcterms:W3CDTF">2022-03-17T17:19:00Z</dcterms:created>
  <dcterms:modified xsi:type="dcterms:W3CDTF">2022-05-11T10:01:00Z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